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375B" w14:textId="77777777" w:rsidR="00B852F1" w:rsidRDefault="00A90571">
      <w:pPr>
        <w:keepNext/>
        <w:keepLines/>
        <w:pageBreakBefore/>
        <w:spacing w:after="20" w:line="240" w:lineRule="auto"/>
        <w:jc w:val="center"/>
      </w:pPr>
      <w:r>
        <w:rPr>
          <w:b/>
          <w:sz w:val="20"/>
        </w:rPr>
        <w:t>ANEXO II</w:t>
      </w:r>
    </w:p>
    <w:p w14:paraId="0C7691C0" w14:textId="77777777" w:rsidR="00B852F1" w:rsidRPr="00ED7955" w:rsidRDefault="00A90571">
      <w:pPr>
        <w:keepNext/>
        <w:keepLines/>
        <w:spacing w:after="40" w:line="240" w:lineRule="auto"/>
        <w:jc w:val="center"/>
        <w:rPr>
          <w:lang w:val="pt-BR"/>
        </w:rPr>
      </w:pPr>
      <w:r w:rsidRPr="00ED7955">
        <w:rPr>
          <w:b/>
          <w:sz w:val="18"/>
          <w:lang w:val="pt-BR"/>
        </w:rPr>
        <w:t>TABELA DA COMPENSAÇÃO EDILÍCIA DE REGULARIZAÇÃO – CER</w:t>
      </w:r>
    </w:p>
    <w:p w14:paraId="3BC2379C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1. Hipóteses e valores</w:t>
      </w:r>
    </w:p>
    <w:p w14:paraId="24DC32BE" w14:textId="77777777" w:rsidR="00B852F1" w:rsidRDefault="00A90571">
      <w:pPr>
        <w:keepLines/>
        <w:spacing w:after="0" w:line="240" w:lineRule="auto"/>
        <w:jc w:val="both"/>
        <w:rPr>
          <w:sz w:val="18"/>
          <w:szCs w:val="28"/>
          <w:lang w:val="pt-BR"/>
        </w:rPr>
      </w:pPr>
      <w:r w:rsidRPr="006F7308">
        <w:rPr>
          <w:sz w:val="18"/>
          <w:szCs w:val="28"/>
          <w:lang w:val="pt-BR"/>
        </w:rPr>
        <w:t>A CER aplica-se exclusivamente às desconformidades dimensionais ou construtivas previstas no Código de Obras que sejam tecnicamente admissíveis segundo o art. 14 da Lei e não estejam incluídas nas vedações do art. 16.</w:t>
      </w:r>
    </w:p>
    <w:p w14:paraId="5CBF7BFF" w14:textId="77777777" w:rsidR="006F7308" w:rsidRPr="006F7308" w:rsidRDefault="006F7308">
      <w:pPr>
        <w:keepLines/>
        <w:spacing w:after="0" w:line="240" w:lineRule="auto"/>
        <w:jc w:val="both"/>
        <w:rPr>
          <w:sz w:val="28"/>
          <w:szCs w:val="28"/>
          <w:lang w:val="pt-BR"/>
        </w:rPr>
      </w:pPr>
    </w:p>
    <w:p w14:paraId="2E93590C" w14:textId="77777777" w:rsidR="00B852F1" w:rsidRPr="006F7308" w:rsidRDefault="00A90571">
      <w:pPr>
        <w:keepNext/>
        <w:spacing w:before="40" w:after="40"/>
        <w:jc w:val="center"/>
        <w:rPr>
          <w:sz w:val="28"/>
          <w:szCs w:val="28"/>
        </w:rPr>
      </w:pPr>
      <w:r w:rsidRPr="006F7308">
        <w:rPr>
          <w:b/>
          <w:sz w:val="20"/>
          <w:szCs w:val="28"/>
        </w:rPr>
        <w:t>QUADRO DE ENQUADRAMENTO DA CER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2835"/>
        <w:gridCol w:w="3402"/>
      </w:tblGrid>
      <w:tr w:rsidR="00955D48" w14:paraId="5FC807BE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5CBF9C6" w14:textId="77777777" w:rsidR="007E3563" w:rsidRDefault="00A90571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Classificação de uso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3A07A8" w14:textId="77777777" w:rsidR="007E3563" w:rsidRDefault="00A90571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Área total edificada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4492FF" w14:textId="77777777" w:rsidR="007E3563" w:rsidRDefault="00A90571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Valor da CER</w:t>
            </w:r>
          </w:p>
        </w:tc>
      </w:tr>
      <w:tr w:rsidR="00955D48" w14:paraId="5886B00D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7DDEC54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Residencial unifamiliar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BFFFFF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Até 70,00 m²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BCCBD4A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5"/>
              </w:rPr>
              <w:t>1 URM</w:t>
            </w:r>
          </w:p>
        </w:tc>
      </w:tr>
      <w:tr w:rsidR="00955D48" w:rsidRPr="00ED7955" w14:paraId="30EBF1B2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21CB957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Residencial unifamiliar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2FF178B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De 70,01 m² a 120,00 m²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3720A3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5"/>
              </w:rPr>
              <w:t>2 URM</w:t>
            </w:r>
          </w:p>
        </w:tc>
      </w:tr>
      <w:tr w:rsidR="00955D48" w14:paraId="642659BA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6A40377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Residencial unifamiliar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D25E936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Superior a 120,00 m²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70958E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5"/>
              </w:rPr>
              <w:t>3 URM</w:t>
            </w:r>
          </w:p>
        </w:tc>
      </w:tr>
      <w:tr w:rsidR="007E3563" w14:paraId="1868A8DA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4D1933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Demais usos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CC9131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Até 100,00 m²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8EAF292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5"/>
              </w:rPr>
              <w:t>3 URM</w:t>
            </w:r>
          </w:p>
        </w:tc>
      </w:tr>
      <w:tr w:rsidR="007E3563" w:rsidRPr="00994035" w14:paraId="2C061EF3" w14:textId="77777777">
        <w:trPr>
          <w:cantSplit/>
          <w:jc w:val="center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222768F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Demais usos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F2B0ABC" w14:textId="77777777" w:rsidR="007E3563" w:rsidRDefault="00A90571">
            <w:pPr>
              <w:spacing w:after="0" w:line="240" w:lineRule="auto"/>
            </w:pPr>
            <w:r>
              <w:rPr>
                <w:sz w:val="15"/>
              </w:rPr>
              <w:t>Superior a 100,00 m²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47D6BF" w14:textId="77777777" w:rsidR="007E3563" w:rsidRPr="006F7308" w:rsidRDefault="00A90571">
            <w:pPr>
              <w:spacing w:after="0" w:line="240" w:lineRule="auto"/>
              <w:jc w:val="center"/>
              <w:rPr>
                <w:lang w:val="pt-BR"/>
              </w:rPr>
            </w:pPr>
            <w:r w:rsidRPr="006F7308">
              <w:rPr>
                <w:sz w:val="15"/>
                <w:lang w:val="pt-BR"/>
              </w:rPr>
              <w:t>3 URM + 0,03 URM por m² excedente a 100,00 m²</w:t>
            </w:r>
          </w:p>
        </w:tc>
      </w:tr>
    </w:tbl>
    <w:p w14:paraId="05F61FB6" w14:textId="77777777" w:rsidR="006F7308" w:rsidRDefault="006F7308">
      <w:pPr>
        <w:keepNext/>
        <w:spacing w:before="60" w:after="20"/>
        <w:rPr>
          <w:b/>
          <w:sz w:val="20"/>
          <w:szCs w:val="28"/>
          <w:lang w:val="pt-BR"/>
        </w:rPr>
      </w:pPr>
    </w:p>
    <w:p w14:paraId="01DE27A6" w14:textId="3904BDE7" w:rsidR="00B852F1" w:rsidRPr="006F7308" w:rsidRDefault="00A90571" w:rsidP="006F7308">
      <w:pPr>
        <w:keepNext/>
        <w:spacing w:before="60" w:after="20"/>
        <w:jc w:val="center"/>
        <w:rPr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OBSERVAÇÕES E CRITÉRIOS DE APLICAÇÃO</w:t>
      </w:r>
    </w:p>
    <w:p w14:paraId="42A3B6D7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2. Base de cálculo</w:t>
      </w:r>
    </w:p>
    <w:p w14:paraId="1DAA1E0B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>A CER será calculada com base na área total edificada da edificação objeto da regularização, considerada a situação existente, de acordo com sua classificação de uso, independentemente da quantidade ou da natureza das desconformidades edilícias admitidas.</w:t>
      </w:r>
    </w:p>
    <w:p w14:paraId="224F3E80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3. Cobrança única por edificação</w:t>
      </w:r>
    </w:p>
    <w:p w14:paraId="551D784F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>A CER será cobrada uma única vez por edificação submetida à regularização. A existência de duas ou mais desconformidades do Código de Obras na mesma edificação não acarretará cumulação de valores.</w:t>
      </w:r>
    </w:p>
    <w:p w14:paraId="669D574C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4. Condições para incidência</w:t>
      </w:r>
    </w:p>
    <w:p w14:paraId="3D2AEE54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 xml:space="preserve">I – </w:t>
      </w:r>
      <w:proofErr w:type="gramStart"/>
      <w:r w:rsidRPr="006F7308">
        <w:rPr>
          <w:sz w:val="18"/>
          <w:szCs w:val="28"/>
          <w:lang w:val="pt-BR"/>
        </w:rPr>
        <w:t>a</w:t>
      </w:r>
      <w:proofErr w:type="gramEnd"/>
      <w:r w:rsidRPr="006F7308">
        <w:rPr>
          <w:sz w:val="18"/>
          <w:szCs w:val="28"/>
          <w:lang w:val="pt-BR"/>
        </w:rPr>
        <w:t xml:space="preserve"> desconformidade deverá decorrer de disposição do Código de Obras e ser identificada no projeto, no Laudo Técnico;</w:t>
      </w:r>
    </w:p>
    <w:p w14:paraId="3305DFB0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 xml:space="preserve">II – </w:t>
      </w:r>
      <w:proofErr w:type="gramStart"/>
      <w:r w:rsidRPr="006F7308">
        <w:rPr>
          <w:sz w:val="18"/>
          <w:szCs w:val="28"/>
          <w:lang w:val="pt-BR"/>
        </w:rPr>
        <w:t>sua</w:t>
      </w:r>
      <w:proofErr w:type="gramEnd"/>
      <w:r w:rsidRPr="006F7308">
        <w:rPr>
          <w:sz w:val="18"/>
          <w:szCs w:val="28"/>
          <w:lang w:val="pt-BR"/>
        </w:rPr>
        <w:t xml:space="preserve"> manutenção deverá ser tecnicamente admissível conforme o art. 14 da Lei;</w:t>
      </w:r>
    </w:p>
    <w:p w14:paraId="03632E3F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>III – a compensação não poderá ser utilizada para dispensar recuos laterais ou de fundos, índices urbanísticos ou exigências essenciais de segurança, estabilidade, salubridade, habitabilidade, acessibilidade e demais condições obrigatórias;</w:t>
      </w:r>
    </w:p>
    <w:p w14:paraId="0EF1C90F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5. Classificação de uso</w:t>
      </w:r>
    </w:p>
    <w:p w14:paraId="6CBAF154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 xml:space="preserve">I – </w:t>
      </w:r>
      <w:proofErr w:type="gramStart"/>
      <w:r w:rsidRPr="006F7308">
        <w:rPr>
          <w:sz w:val="18"/>
          <w:szCs w:val="28"/>
          <w:lang w:val="pt-BR"/>
        </w:rPr>
        <w:t>residencial</w:t>
      </w:r>
      <w:proofErr w:type="gramEnd"/>
      <w:r w:rsidRPr="006F7308">
        <w:rPr>
          <w:sz w:val="18"/>
          <w:szCs w:val="28"/>
          <w:lang w:val="pt-BR"/>
        </w:rPr>
        <w:t xml:space="preserve"> unifamiliar: edificação constituída exclusivamente por uma única economia residencial;</w:t>
      </w:r>
    </w:p>
    <w:p w14:paraId="5AC91C26" w14:textId="77777777" w:rsidR="00B852F1" w:rsidRPr="006F7308" w:rsidRDefault="00A90571">
      <w:pPr>
        <w:keepLines/>
        <w:spacing w:after="0" w:line="240" w:lineRule="auto"/>
        <w:jc w:val="both"/>
        <w:rPr>
          <w:b/>
          <w:bCs/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 xml:space="preserve">II – </w:t>
      </w:r>
      <w:proofErr w:type="gramStart"/>
      <w:r w:rsidRPr="006F7308">
        <w:rPr>
          <w:sz w:val="18"/>
          <w:szCs w:val="28"/>
          <w:lang w:val="pt-BR"/>
        </w:rPr>
        <w:t>demais</w:t>
      </w:r>
      <w:proofErr w:type="gramEnd"/>
      <w:r w:rsidRPr="006F7308">
        <w:rPr>
          <w:sz w:val="18"/>
          <w:szCs w:val="28"/>
          <w:lang w:val="pt-BR"/>
        </w:rPr>
        <w:t xml:space="preserve"> usos: residencial multifamiliar, comércio, serviços, indústria, uso misto e demais atividades.</w:t>
      </w:r>
    </w:p>
    <w:p w14:paraId="7049C8BA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b/>
          <w:sz w:val="18"/>
          <w:szCs w:val="28"/>
          <w:lang w:val="pt-BR"/>
        </w:rPr>
        <w:t xml:space="preserve">Parágrafo único. </w:t>
      </w:r>
      <w:r w:rsidRPr="006F7308">
        <w:rPr>
          <w:sz w:val="18"/>
          <w:szCs w:val="28"/>
          <w:lang w:val="pt-BR"/>
        </w:rPr>
        <w:t>Para fins de enquadramento, qualquer edificação que não se caracterize exclusivamente como residencial unifamiliar será submetida aos critérios previstos para os demais usos.</w:t>
      </w:r>
    </w:p>
    <w:p w14:paraId="59A66920" w14:textId="77777777" w:rsidR="00B852F1" w:rsidRPr="006F7308" w:rsidRDefault="00A90571">
      <w:pPr>
        <w:keepNext/>
        <w:keepLines/>
        <w:spacing w:before="40" w:after="0" w:line="240" w:lineRule="auto"/>
        <w:jc w:val="both"/>
        <w:rPr>
          <w:sz w:val="28"/>
          <w:szCs w:val="28"/>
          <w:lang w:val="pt-BR"/>
        </w:rPr>
      </w:pPr>
      <w:r w:rsidRPr="006F7308">
        <w:rPr>
          <w:b/>
          <w:sz w:val="20"/>
          <w:szCs w:val="28"/>
          <w:lang w:val="pt-BR"/>
        </w:rPr>
        <w:t>6. Mais de uma edificação no imóvel</w:t>
      </w:r>
    </w:p>
    <w:p w14:paraId="601BDDA5" w14:textId="77777777" w:rsidR="00B852F1" w:rsidRPr="006F7308" w:rsidRDefault="00A90571">
      <w:pPr>
        <w:keepLines/>
        <w:spacing w:after="0" w:line="240" w:lineRule="auto"/>
        <w:jc w:val="both"/>
        <w:rPr>
          <w:sz w:val="28"/>
          <w:szCs w:val="28"/>
          <w:lang w:val="pt-BR"/>
        </w:rPr>
      </w:pPr>
      <w:r w:rsidRPr="006F7308">
        <w:rPr>
          <w:sz w:val="18"/>
          <w:szCs w:val="28"/>
          <w:lang w:val="pt-BR"/>
        </w:rPr>
        <w:t>Quando houver mais de uma edificação submetida à regularização no mesmo imóvel, a CER será calculada separadamente para cada edificação, conforme a respectiva área total edificada e classificação de uso.</w:t>
      </w:r>
    </w:p>
    <w:p w14:paraId="7BA12D60" w14:textId="5EA9F49A" w:rsidR="00B852F1" w:rsidRPr="00F979E8" w:rsidRDefault="00A90571" w:rsidP="00F979E8">
      <w:pPr>
        <w:rPr>
          <w:sz w:val="28"/>
          <w:szCs w:val="28"/>
          <w:lang w:val="pt-BR"/>
        </w:rPr>
      </w:pPr>
      <w:r w:rsidRPr="006F7308">
        <w:rPr>
          <w:sz w:val="28"/>
          <w:szCs w:val="28"/>
          <w:lang w:val="pt-BR"/>
        </w:rPr>
        <w:br w:type="page"/>
      </w:r>
    </w:p>
    <w:sectPr w:rsidR="00B852F1" w:rsidRPr="00F979E8" w:rsidSect="006F7308">
      <w:headerReference w:type="default" r:id="rId7"/>
      <w:footerReference w:type="default" r:id="rId8"/>
      <w:pgSz w:w="11906" w:h="16838"/>
      <w:pgMar w:top="2353" w:right="1247" w:bottom="822" w:left="1417" w:header="85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EEE06" w14:textId="77777777" w:rsidR="00A03F59" w:rsidRDefault="00A03F59" w:rsidP="00933E45">
      <w:pPr>
        <w:spacing w:after="0" w:line="240" w:lineRule="auto"/>
      </w:pPr>
      <w:r>
        <w:separator/>
      </w:r>
    </w:p>
  </w:endnote>
  <w:endnote w:type="continuationSeparator" w:id="0">
    <w:p w14:paraId="20CBCB14" w14:textId="77777777" w:rsidR="00A03F59" w:rsidRDefault="00A03F59" w:rsidP="0093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D225" w14:textId="77777777" w:rsidR="00933E45" w:rsidRDefault="00933E45" w:rsidP="00153F8C">
    <w:pPr>
      <w:pStyle w:val="Rodap"/>
    </w:pPr>
  </w:p>
  <w:p w14:paraId="6C4597AD" w14:textId="77777777" w:rsidR="00933E45" w:rsidRDefault="00933E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2CEE4" w14:textId="77777777" w:rsidR="00A03F59" w:rsidRDefault="00A03F59" w:rsidP="00933E45">
      <w:pPr>
        <w:spacing w:after="0" w:line="240" w:lineRule="auto"/>
      </w:pPr>
      <w:r>
        <w:separator/>
      </w:r>
    </w:p>
  </w:footnote>
  <w:footnote w:type="continuationSeparator" w:id="0">
    <w:p w14:paraId="04AF2425" w14:textId="77777777" w:rsidR="00A03F59" w:rsidRDefault="00A03F59" w:rsidP="0093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CF11" w14:textId="77777777" w:rsidR="00933E45" w:rsidRDefault="00933E45" w:rsidP="00933E45">
    <w:pPr>
      <w:pStyle w:val="Cabealho"/>
      <w:jc w:val="center"/>
      <w:rPr>
        <w:rFonts w:ascii="Arial" w:hAnsi="Arial" w:cs="Arial"/>
      </w:rPr>
    </w:pPr>
    <w:r w:rsidRPr="00933E45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1366D4AA" wp14:editId="529F3A14">
          <wp:simplePos x="0" y="0"/>
          <wp:positionH relativeFrom="margin">
            <wp:align>left</wp:align>
          </wp:positionH>
          <wp:positionV relativeFrom="paragraph">
            <wp:posOffset>-90302</wp:posOffset>
          </wp:positionV>
          <wp:extent cx="746804" cy="75062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804" cy="750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3E45">
      <w:rPr>
        <w:rFonts w:ascii="Arial" w:hAnsi="Arial" w:cs="Arial"/>
      </w:rPr>
      <w:t>MUNICÍPIO DE IVOTI</w:t>
    </w:r>
  </w:p>
  <w:p w14:paraId="7EA38155" w14:textId="77777777" w:rsidR="00933E45" w:rsidRPr="00933E45" w:rsidRDefault="00933E45" w:rsidP="00933E45">
    <w:pPr>
      <w:pStyle w:val="Cabealho"/>
      <w:jc w:val="center"/>
      <w:rPr>
        <w:rFonts w:ascii="Arial" w:hAnsi="Arial" w:cs="Arial"/>
      </w:rPr>
    </w:pPr>
  </w:p>
  <w:p w14:paraId="61A5A8FD" w14:textId="77777777" w:rsidR="00933E45" w:rsidRDefault="00933E45" w:rsidP="00933E45">
    <w:pPr>
      <w:pStyle w:val="Cabealho"/>
      <w:jc w:val="center"/>
      <w:rPr>
        <w:rFonts w:ascii="Arial" w:hAnsi="Arial" w:cs="Arial"/>
      </w:rPr>
    </w:pPr>
    <w:r w:rsidRPr="00933E45">
      <w:rPr>
        <w:rFonts w:ascii="Arial" w:hAnsi="Arial" w:cs="Arial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E25D4"/>
    <w:multiLevelType w:val="singleLevel"/>
    <w:tmpl w:val="D8421AD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spacing w:after="160" w:line="280" w:lineRule="auto"/>
        <w:ind w:left="720" w:hanging="360"/>
      </w:pPr>
      <w:rPr>
        <w:sz w:val="18"/>
        <w:szCs w:val="18"/>
      </w:rPr>
    </w:lvl>
  </w:abstractNum>
  <w:num w:numId="1" w16cid:durableId="1511607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E45"/>
    <w:rsid w:val="000401F9"/>
    <w:rsid w:val="0010148A"/>
    <w:rsid w:val="00153F8C"/>
    <w:rsid w:val="00227578"/>
    <w:rsid w:val="002D30BA"/>
    <w:rsid w:val="003415D9"/>
    <w:rsid w:val="003604D8"/>
    <w:rsid w:val="0039335A"/>
    <w:rsid w:val="003A654E"/>
    <w:rsid w:val="0040678A"/>
    <w:rsid w:val="00471955"/>
    <w:rsid w:val="00482849"/>
    <w:rsid w:val="004E71EC"/>
    <w:rsid w:val="005214E4"/>
    <w:rsid w:val="005A3FBC"/>
    <w:rsid w:val="005E506D"/>
    <w:rsid w:val="0063671B"/>
    <w:rsid w:val="006F7308"/>
    <w:rsid w:val="00787430"/>
    <w:rsid w:val="007A4B46"/>
    <w:rsid w:val="007E3563"/>
    <w:rsid w:val="00892E92"/>
    <w:rsid w:val="008C251D"/>
    <w:rsid w:val="009025B8"/>
    <w:rsid w:val="009039A6"/>
    <w:rsid w:val="00923F54"/>
    <w:rsid w:val="00933E45"/>
    <w:rsid w:val="00994035"/>
    <w:rsid w:val="009A4BD2"/>
    <w:rsid w:val="00A03F59"/>
    <w:rsid w:val="00A90571"/>
    <w:rsid w:val="00B72D25"/>
    <w:rsid w:val="00B852F1"/>
    <w:rsid w:val="00BD7F2E"/>
    <w:rsid w:val="00C82DAB"/>
    <w:rsid w:val="00DE24A4"/>
    <w:rsid w:val="00E056DB"/>
    <w:rsid w:val="00EC5985"/>
    <w:rsid w:val="00ED75D5"/>
    <w:rsid w:val="00F15490"/>
    <w:rsid w:val="00F27A2A"/>
    <w:rsid w:val="00F979E8"/>
    <w:rsid w:val="00F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C0CFD"/>
  <w15:chartTrackingRefBased/>
  <w15:docId w15:val="{CE5F3F80-A3C2-4982-9839-82638E26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E45"/>
    <w:pPr>
      <w:spacing w:after="200" w:line="276" w:lineRule="auto"/>
    </w:pPr>
    <w:rPr>
      <w:rFonts w:ascii="Arial" w:eastAsia="Arial" w:hAnsi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E506D"/>
    <w:pPr>
      <w:keepNext/>
      <w:keepLines/>
      <w:spacing w:before="32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506D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E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933E45"/>
  </w:style>
  <w:style w:type="paragraph" w:styleId="Rodap">
    <w:name w:val="footer"/>
    <w:basedOn w:val="Normal"/>
    <w:link w:val="RodapChar"/>
    <w:uiPriority w:val="99"/>
    <w:unhideWhenUsed/>
    <w:rsid w:val="00933E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933E45"/>
  </w:style>
  <w:style w:type="paragraph" w:styleId="NormalWeb">
    <w:name w:val="Normal (Web)"/>
    <w:basedOn w:val="Normal"/>
    <w:uiPriority w:val="99"/>
    <w:unhideWhenUsed/>
    <w:rsid w:val="0015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53F8C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5E506D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5E506D"/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5E506D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202124"/>
      <w:spacing w:val="5"/>
      <w:kern w:val="28"/>
      <w:sz w:val="4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5E506D"/>
    <w:rPr>
      <w:rFonts w:asciiTheme="majorHAnsi" w:eastAsiaTheme="majorEastAsia" w:hAnsiTheme="majorHAnsi" w:cstheme="majorBidi"/>
      <w:b/>
      <w:color w:val="202124"/>
      <w:spacing w:val="5"/>
      <w:kern w:val="28"/>
      <w:sz w:val="46"/>
      <w:szCs w:val="52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506D"/>
    <w:pPr>
      <w:numPr>
        <w:ilvl w:val="1"/>
      </w:numPr>
      <w:spacing w:after="320" w:line="264" w:lineRule="auto"/>
    </w:pPr>
    <w:rPr>
      <w:rFonts w:asciiTheme="majorHAnsi" w:eastAsiaTheme="majorEastAsia" w:hAnsiTheme="majorHAnsi" w:cstheme="majorBidi"/>
      <w:i/>
      <w:iCs/>
      <w:color w:val="5F6368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5E506D"/>
    <w:rPr>
      <w:rFonts w:asciiTheme="majorHAnsi" w:eastAsiaTheme="majorEastAsia" w:hAnsiTheme="majorHAnsi" w:cstheme="majorBidi"/>
      <w:i/>
      <w:iCs/>
      <w:color w:val="5F6368"/>
      <w:spacing w:val="15"/>
      <w:sz w:val="24"/>
      <w:szCs w:val="24"/>
      <w:lang w:val="en-US"/>
    </w:rPr>
  </w:style>
  <w:style w:type="paragraph" w:styleId="Commarcadores">
    <w:name w:val="List Bullet"/>
    <w:basedOn w:val="Normal"/>
    <w:uiPriority w:val="99"/>
    <w:unhideWhenUsed/>
    <w:rsid w:val="005E506D"/>
    <w:pPr>
      <w:numPr>
        <w:numId w:val="1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Calibri" w:eastAsiaTheme="minorEastAsia" w:hAnsi="Calibri"/>
      <w:color w:val="2021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Marco Municipal de Regularização de Edificações Existentes e Consolidadas - Ivoti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 Municipal de Regularização de Edificações Existentes e Consolidadas - Ivoti</dc:title>
  <dc:subject>Projeto de Lei Municipal - ROR e CER</dc:subject>
  <dc:creator>Daniel Wagner</dc:creator>
  <cp:keywords/>
  <dc:description/>
  <cp:lastModifiedBy>Camara Ivoti</cp:lastModifiedBy>
  <cp:revision>2</cp:revision>
  <cp:lastPrinted>2026-10-20T20:23:00Z</cp:lastPrinted>
  <dcterms:created xsi:type="dcterms:W3CDTF">2026-10-20T20:25:00Z</dcterms:created>
  <dcterms:modified xsi:type="dcterms:W3CDTF">2026-10-20T20:25:00Z</dcterms:modified>
</cp:coreProperties>
</file>